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009818" w14:textId="52438D01" w:rsidR="00093371" w:rsidRPr="00F06ACB" w:rsidRDefault="00093371" w:rsidP="00093371">
      <w:pPr>
        <w:pStyle w:val="MDPI11articletype"/>
        <w:jc w:val="both"/>
      </w:pPr>
      <w:r>
        <w:t>Supplementary Material</w:t>
      </w:r>
      <w:bookmarkStart w:id="0" w:name="_GoBack"/>
      <w:bookmarkEnd w:id="0"/>
    </w:p>
    <w:p w14:paraId="41D7C04A" w14:textId="77777777" w:rsidR="00093371" w:rsidRPr="003F3C91" w:rsidRDefault="00093371" w:rsidP="00093371">
      <w:pPr>
        <w:pStyle w:val="MDPI13authornames"/>
        <w:jc w:val="both"/>
        <w:rPr>
          <w:bCs/>
          <w:iCs/>
          <w:snapToGrid w:val="0"/>
          <w:sz w:val="36"/>
        </w:rPr>
      </w:pPr>
      <w:r w:rsidRPr="003F3C91">
        <w:rPr>
          <w:bCs/>
          <w:i/>
          <w:iCs/>
          <w:snapToGrid w:val="0"/>
          <w:sz w:val="36"/>
        </w:rPr>
        <w:t>Divide et impera</w:t>
      </w:r>
      <w:r w:rsidRPr="003F3C91">
        <w:rPr>
          <w:bCs/>
          <w:iCs/>
          <w:snapToGrid w:val="0"/>
          <w:sz w:val="36"/>
        </w:rPr>
        <w:t xml:space="preserve">: an </w:t>
      </w:r>
      <w:r w:rsidRPr="003F3C91">
        <w:rPr>
          <w:bCs/>
          <w:i/>
          <w:iCs/>
          <w:snapToGrid w:val="0"/>
          <w:sz w:val="36"/>
        </w:rPr>
        <w:t>in silico</w:t>
      </w:r>
      <w:r w:rsidRPr="003F3C91">
        <w:rPr>
          <w:bCs/>
          <w:iCs/>
          <w:snapToGrid w:val="0"/>
          <w:sz w:val="36"/>
        </w:rPr>
        <w:t xml:space="preserve"> screening targeting HCMV ppUL44 processivity factor homodimerization identifies small molecules inhibiting viral replication </w:t>
      </w:r>
    </w:p>
    <w:p w14:paraId="0CF89C1F" w14:textId="77777777" w:rsidR="00093371" w:rsidRPr="003F3C91" w:rsidRDefault="00093371" w:rsidP="00093371">
      <w:pPr>
        <w:pStyle w:val="MDPI16affiliation"/>
        <w:jc w:val="both"/>
        <w:rPr>
          <w:b/>
          <w:bCs/>
          <w:iCs/>
          <w:sz w:val="20"/>
          <w:szCs w:val="22"/>
          <w:vertAlign w:val="superscript"/>
          <w:lang w:val="it-IT"/>
        </w:rPr>
      </w:pPr>
      <w:r w:rsidRPr="003F3C91">
        <w:rPr>
          <w:b/>
          <w:bCs/>
          <w:iCs/>
          <w:sz w:val="20"/>
          <w:szCs w:val="22"/>
          <w:lang w:val="it-IT"/>
        </w:rPr>
        <w:t>Hanieh Ghassabian</w:t>
      </w:r>
      <w:r>
        <w:rPr>
          <w:b/>
          <w:bCs/>
          <w:iCs/>
          <w:sz w:val="20"/>
          <w:szCs w:val="22"/>
          <w:vertAlign w:val="superscript"/>
          <w:lang w:val="it-IT"/>
        </w:rPr>
        <w:t>1</w:t>
      </w:r>
      <w:r w:rsidRPr="003F3C91">
        <w:rPr>
          <w:b/>
          <w:bCs/>
          <w:iCs/>
          <w:sz w:val="20"/>
          <w:szCs w:val="22"/>
          <w:lang w:val="it-IT"/>
        </w:rPr>
        <w:t>, Federico Falchi</w:t>
      </w:r>
      <w:r>
        <w:rPr>
          <w:b/>
          <w:bCs/>
          <w:iCs/>
          <w:sz w:val="20"/>
          <w:szCs w:val="22"/>
          <w:vertAlign w:val="superscript"/>
          <w:lang w:val="it-IT"/>
        </w:rPr>
        <w:t>2</w:t>
      </w:r>
      <w:r w:rsidRPr="003F3C91">
        <w:rPr>
          <w:b/>
          <w:bCs/>
          <w:iCs/>
          <w:sz w:val="20"/>
          <w:szCs w:val="22"/>
          <w:lang w:val="it-IT"/>
        </w:rPr>
        <w:t>, Martina Timmoneri</w:t>
      </w:r>
      <w:r>
        <w:rPr>
          <w:b/>
          <w:bCs/>
          <w:iCs/>
          <w:sz w:val="20"/>
          <w:szCs w:val="22"/>
          <w:vertAlign w:val="superscript"/>
          <w:lang w:val="it-IT"/>
        </w:rPr>
        <w:t>1</w:t>
      </w:r>
      <w:r w:rsidRPr="003F3C91">
        <w:rPr>
          <w:b/>
          <w:bCs/>
          <w:iCs/>
          <w:sz w:val="20"/>
          <w:szCs w:val="22"/>
          <w:lang w:val="it-IT"/>
        </w:rPr>
        <w:t>, Beatrice Mercorelli</w:t>
      </w:r>
      <w:r>
        <w:rPr>
          <w:b/>
          <w:bCs/>
          <w:iCs/>
          <w:sz w:val="20"/>
          <w:szCs w:val="22"/>
          <w:vertAlign w:val="superscript"/>
          <w:lang w:val="it-IT"/>
        </w:rPr>
        <w:t>1</w:t>
      </w:r>
      <w:r w:rsidRPr="003F3C91">
        <w:rPr>
          <w:b/>
          <w:bCs/>
          <w:iCs/>
          <w:sz w:val="20"/>
          <w:szCs w:val="22"/>
          <w:lang w:val="it-IT"/>
        </w:rPr>
        <w:t>, Arianna Loregian</w:t>
      </w:r>
      <w:r>
        <w:rPr>
          <w:b/>
          <w:bCs/>
          <w:iCs/>
          <w:sz w:val="20"/>
          <w:szCs w:val="22"/>
          <w:vertAlign w:val="superscript"/>
          <w:lang w:val="it-IT"/>
        </w:rPr>
        <w:t>1</w:t>
      </w:r>
      <w:r w:rsidRPr="003F3C91">
        <w:rPr>
          <w:b/>
          <w:bCs/>
          <w:iCs/>
          <w:sz w:val="20"/>
          <w:szCs w:val="22"/>
          <w:lang w:val="it-IT"/>
        </w:rPr>
        <w:t>, Giorgio Palù</w:t>
      </w:r>
      <w:r>
        <w:rPr>
          <w:b/>
          <w:bCs/>
          <w:iCs/>
          <w:sz w:val="20"/>
          <w:szCs w:val="22"/>
          <w:vertAlign w:val="superscript"/>
          <w:lang w:val="it-IT"/>
        </w:rPr>
        <w:t>1</w:t>
      </w:r>
      <w:r w:rsidRPr="003F3C91">
        <w:rPr>
          <w:b/>
          <w:bCs/>
          <w:iCs/>
          <w:sz w:val="20"/>
          <w:szCs w:val="22"/>
          <w:lang w:val="it-IT"/>
        </w:rPr>
        <w:t>, Gualtiero Alvisi</w:t>
      </w:r>
      <w:r>
        <w:rPr>
          <w:b/>
          <w:bCs/>
          <w:iCs/>
          <w:sz w:val="20"/>
          <w:szCs w:val="22"/>
          <w:vertAlign w:val="superscript"/>
          <w:lang w:val="it-IT"/>
        </w:rPr>
        <w:t>1*</w:t>
      </w:r>
    </w:p>
    <w:p w14:paraId="3889FE72" w14:textId="77777777" w:rsidR="00093371" w:rsidRPr="003F3C91" w:rsidRDefault="00093371" w:rsidP="00093371">
      <w:pPr>
        <w:pStyle w:val="MDPI16affiliation"/>
        <w:jc w:val="both"/>
        <w:rPr>
          <w:lang w:val="en-GB"/>
        </w:rPr>
      </w:pPr>
      <w:r w:rsidRPr="00F06ACB">
        <w:rPr>
          <w:vertAlign w:val="superscript"/>
        </w:rPr>
        <w:t>1</w:t>
      </w:r>
      <w:r w:rsidRPr="00F06ACB">
        <w:tab/>
      </w:r>
      <w:r w:rsidRPr="003F3C91">
        <w:rPr>
          <w:lang w:val="en-GB"/>
        </w:rPr>
        <w:t>Department of Molecular Medicine, University of Padua, Italy</w:t>
      </w:r>
      <w:r w:rsidRPr="00F06ACB">
        <w:t xml:space="preserve">; </w:t>
      </w:r>
      <w:r w:rsidRPr="003F3C91">
        <w:t xml:space="preserve">haniehghassabian@gmail.com; </w:t>
      </w:r>
      <w:hyperlink r:id="rId4" w:history="1">
        <w:r w:rsidRPr="00274B04">
          <w:rPr>
            <w:rStyle w:val="Collegamentoipertestuale"/>
          </w:rPr>
          <w:t>hanieh.ghassabian@unipd.it</w:t>
        </w:r>
      </w:hyperlink>
      <w:r>
        <w:t xml:space="preserve">; </w:t>
      </w:r>
      <w:hyperlink r:id="rId5" w:history="1">
        <w:r w:rsidRPr="0085587F">
          <w:rPr>
            <w:rStyle w:val="Collegamentoipertestuale"/>
          </w:rPr>
          <w:t>martina.timmoneri@gmail.com</w:t>
        </w:r>
      </w:hyperlink>
      <w:r>
        <w:t xml:space="preserve">; </w:t>
      </w:r>
      <w:hyperlink r:id="rId6" w:history="1">
        <w:r w:rsidRPr="0085587F">
          <w:rPr>
            <w:rStyle w:val="Collegamentoipertestuale"/>
          </w:rPr>
          <w:t>beatrice.mercorelli@unipd.it</w:t>
        </w:r>
      </w:hyperlink>
      <w:r>
        <w:t xml:space="preserve">; </w:t>
      </w:r>
      <w:hyperlink r:id="rId7" w:history="1">
        <w:r w:rsidRPr="0085587F">
          <w:rPr>
            <w:rStyle w:val="Collegamentoipertestuale"/>
          </w:rPr>
          <w:t>arianna.loregian@unipd.it</w:t>
        </w:r>
      </w:hyperlink>
      <w:r>
        <w:t xml:space="preserve">; </w:t>
      </w:r>
      <w:hyperlink r:id="rId8" w:history="1">
        <w:r w:rsidRPr="0085587F">
          <w:rPr>
            <w:rStyle w:val="Collegamentoipertestuale"/>
          </w:rPr>
          <w:t>Giorgio.palu@unipd.it</w:t>
        </w:r>
      </w:hyperlink>
      <w:r>
        <w:t>; gualtiero.alvisi@unipd.it</w:t>
      </w:r>
    </w:p>
    <w:p w14:paraId="20F32333" w14:textId="77777777" w:rsidR="00093371" w:rsidRPr="0096035E" w:rsidRDefault="00093371" w:rsidP="00093371">
      <w:pPr>
        <w:pStyle w:val="MDPI16affiliation"/>
        <w:jc w:val="both"/>
        <w:rPr>
          <w:szCs w:val="20"/>
        </w:rPr>
      </w:pPr>
      <w:r w:rsidRPr="00F06ACB">
        <w:rPr>
          <w:szCs w:val="20"/>
          <w:vertAlign w:val="superscript"/>
        </w:rPr>
        <w:t>2</w:t>
      </w:r>
      <w:r w:rsidRPr="00F06ACB">
        <w:rPr>
          <w:szCs w:val="20"/>
        </w:rPr>
        <w:tab/>
      </w:r>
      <w:r w:rsidRPr="003F3C91">
        <w:rPr>
          <w:lang w:val="en-GB"/>
        </w:rPr>
        <w:t>Molecular Horizon, Bettona (PG), Italy</w:t>
      </w:r>
      <w:r w:rsidRPr="001308EC">
        <w:t xml:space="preserve"> </w:t>
      </w:r>
      <w:r w:rsidRPr="001308EC">
        <w:rPr>
          <w:szCs w:val="20"/>
        </w:rPr>
        <w:t xml:space="preserve">federico.falchi@hotmail.com </w:t>
      </w:r>
    </w:p>
    <w:p w14:paraId="2A9A0F74" w14:textId="77777777" w:rsidR="00093371" w:rsidRPr="00F06ACB" w:rsidRDefault="00093371" w:rsidP="00093371">
      <w:pPr>
        <w:pStyle w:val="MDPI14history"/>
        <w:spacing w:before="0"/>
        <w:ind w:left="311" w:hanging="198"/>
        <w:jc w:val="both"/>
      </w:pPr>
      <w:r w:rsidRPr="00F06ACB">
        <w:rPr>
          <w:b/>
        </w:rPr>
        <w:t>*</w:t>
      </w:r>
      <w:r w:rsidRPr="00F06ACB">
        <w:tab/>
        <w:t xml:space="preserve">Correspondence: </w:t>
      </w:r>
      <w:r>
        <w:t>gualtiero.alvisi@unipd.it</w:t>
      </w:r>
      <w:r w:rsidRPr="00F06ACB">
        <w:t>;</w:t>
      </w:r>
    </w:p>
    <w:p w14:paraId="46BA5A2E" w14:textId="77777777" w:rsidR="0026244C" w:rsidRPr="00AF37C8" w:rsidRDefault="0026244C" w:rsidP="008A336E">
      <w:pPr>
        <w:spacing w:after="0" w:line="240" w:lineRule="auto"/>
        <w:rPr>
          <w:sz w:val="24"/>
          <w:szCs w:val="24"/>
        </w:rPr>
      </w:pPr>
      <w:r w:rsidRPr="00AF37C8">
        <w:rPr>
          <w:sz w:val="24"/>
          <w:szCs w:val="24"/>
        </w:rPr>
        <w:br w:type="page"/>
      </w:r>
    </w:p>
    <w:p w14:paraId="49848977" w14:textId="77777777" w:rsidR="00E1434F" w:rsidRDefault="00FE4765" w:rsidP="00FE4765">
      <w:pPr>
        <w:spacing w:after="0" w:line="240" w:lineRule="auto"/>
        <w:ind w:right="-7"/>
        <w:contextualSpacing/>
        <w:jc w:val="center"/>
        <w:rPr>
          <w:rFonts w:ascii="Times New Roman" w:hAnsi="Times New Roman" w:cs="Times New Roman"/>
          <w:b/>
          <w:color w:val="000000" w:themeColor="text1"/>
          <w:sz w:val="48"/>
          <w:szCs w:val="24"/>
        </w:rPr>
      </w:pPr>
      <w:r w:rsidRPr="00AC5D83">
        <w:rPr>
          <w:rFonts w:ascii="Times New Roman" w:hAnsi="Times New Roman" w:cs="Times New Roman"/>
          <w:b/>
          <w:color w:val="000000" w:themeColor="text1"/>
          <w:sz w:val="48"/>
          <w:szCs w:val="24"/>
        </w:rPr>
        <w:lastRenderedPageBreak/>
        <w:t>Supplementary Figure S</w:t>
      </w:r>
      <w:r>
        <w:rPr>
          <w:rFonts w:ascii="Times New Roman" w:hAnsi="Times New Roman" w:cs="Times New Roman"/>
          <w:b/>
          <w:color w:val="000000" w:themeColor="text1"/>
          <w:sz w:val="48"/>
          <w:szCs w:val="24"/>
        </w:rPr>
        <w:t>1</w:t>
      </w:r>
    </w:p>
    <w:p w14:paraId="1AE84DBD" w14:textId="4E241409" w:rsidR="00FE4765" w:rsidRDefault="00E1434F" w:rsidP="00FE4765">
      <w:pPr>
        <w:spacing w:after="0" w:line="240" w:lineRule="auto"/>
        <w:ind w:right="-7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FE4765">
        <w:rPr>
          <w:rFonts w:ascii="Times New Roman" w:hAnsi="Times New Roman" w:cs="Times New Roman"/>
          <w:b/>
          <w:noProof/>
          <w:color w:val="000000" w:themeColor="text1"/>
          <w:sz w:val="48"/>
          <w:szCs w:val="24"/>
          <w:lang w:val="it-IT" w:eastAsia="it-IT"/>
        </w:rPr>
        <w:drawing>
          <wp:inline distT="0" distB="0" distL="0" distR="0" wp14:anchorId="59218019" wp14:editId="087AA4B6">
            <wp:extent cx="6116320" cy="8140065"/>
            <wp:effectExtent l="0" t="0" r="508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814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848" w:rsidRPr="00FE4765">
        <w:rPr>
          <w:sz w:val="24"/>
          <w:szCs w:val="24"/>
        </w:rPr>
        <w:br w:type="page"/>
      </w:r>
      <w:r w:rsidR="00FE4765" w:rsidRPr="00AC5D83">
        <w:rPr>
          <w:rFonts w:ascii="Times New Roman" w:hAnsi="Times New Roman" w:cs="Times New Roman"/>
          <w:b/>
          <w:color w:val="000000" w:themeColor="text1"/>
          <w:sz w:val="48"/>
          <w:szCs w:val="24"/>
        </w:rPr>
        <w:t>Supplementary Figure S</w:t>
      </w:r>
      <w:r w:rsidR="00FE4765">
        <w:rPr>
          <w:rFonts w:ascii="Times New Roman" w:hAnsi="Times New Roman" w:cs="Times New Roman"/>
          <w:b/>
          <w:color w:val="000000" w:themeColor="text1"/>
          <w:sz w:val="48"/>
          <w:szCs w:val="24"/>
        </w:rPr>
        <w:t>2</w:t>
      </w:r>
    </w:p>
    <w:p w14:paraId="702B60F2" w14:textId="30224796" w:rsidR="005E74BF" w:rsidRDefault="005E74BF" w:rsidP="008A336E">
      <w:pPr>
        <w:spacing w:after="0" w:line="240" w:lineRule="auto"/>
        <w:ind w:right="-7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</w:p>
    <w:p w14:paraId="7A41CCF1" w14:textId="32C509A0" w:rsidR="00AC5D83" w:rsidRDefault="00AC5D83" w:rsidP="008A336E">
      <w:pPr>
        <w:spacing w:after="0" w:line="240" w:lineRule="auto"/>
        <w:ind w:right="-7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</w:pPr>
      <w:r w:rsidRPr="005E74BF">
        <w:rPr>
          <w:rFonts w:ascii="Times New Roman" w:hAnsi="Times New Roman" w:cs="Times New Roman"/>
          <w:b/>
          <w:bCs/>
          <w:caps/>
          <w:noProof/>
          <w:color w:val="000000" w:themeColor="text1"/>
          <w:sz w:val="24"/>
          <w:szCs w:val="24"/>
          <w:u w:val="single"/>
          <w:lang w:val="it-IT" w:eastAsia="it-IT"/>
        </w:rPr>
        <w:drawing>
          <wp:anchor distT="0" distB="0" distL="114300" distR="114300" simplePos="0" relativeHeight="251662336" behindDoc="0" locked="0" layoutInCell="1" allowOverlap="1" wp14:anchorId="56FCA7A2" wp14:editId="5D830B91">
            <wp:simplePos x="0" y="0"/>
            <wp:positionH relativeFrom="column">
              <wp:posOffset>704850</wp:posOffset>
            </wp:positionH>
            <wp:positionV relativeFrom="paragraph">
              <wp:posOffset>179070</wp:posOffset>
            </wp:positionV>
            <wp:extent cx="4835525" cy="8133715"/>
            <wp:effectExtent l="0" t="0" r="0" b="0"/>
            <wp:wrapTopAndBottom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73"/>
                    <a:stretch/>
                  </pic:blipFill>
                  <pic:spPr bwMode="auto">
                    <a:xfrm>
                      <a:off x="0" y="0"/>
                      <a:ext cx="4835525" cy="8133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EE181C" w14:textId="68490E93" w:rsidR="008A336E" w:rsidRPr="00AF37C8" w:rsidRDefault="008A336E" w:rsidP="008A336E">
      <w:p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Supplementary Figure </w:t>
      </w:r>
      <w:r w:rsidR="00AC5D83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S</w:t>
      </w:r>
      <w:r w:rsidR="00917070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1</w:t>
      </w: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.</w:t>
      </w: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Molecular structure of purchased SMs</w:t>
      </w:r>
      <w:r w:rsidRPr="00AF37C8">
        <w:rPr>
          <w:rFonts w:ascii="Times New Roman" w:hAnsi="Times New Roman"/>
          <w:b/>
          <w:bCs/>
          <w:sz w:val="24"/>
          <w:szCs w:val="24"/>
          <w:lang w:eastAsia="zh-CN"/>
        </w:rPr>
        <w:t>.</w:t>
      </w:r>
      <w:r w:rsidRPr="00AF37C8">
        <w:rPr>
          <w:rFonts w:ascii="Times New Roman" w:hAnsi="Times New Roman"/>
          <w:bCs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sz w:val="24"/>
          <w:szCs w:val="24"/>
          <w:lang w:eastAsia="zh-CN"/>
        </w:rPr>
        <w:t xml:space="preserve">The chemical structure of each purchased SM is shown. </w:t>
      </w:r>
    </w:p>
    <w:p w14:paraId="6AB20C4B" w14:textId="69C81570" w:rsidR="008A336E" w:rsidRDefault="008A336E" w:rsidP="000F61D1">
      <w:pPr>
        <w:spacing w:line="240" w:lineRule="auto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 xml:space="preserve">Supplementary Figure </w:t>
      </w:r>
      <w:r w:rsidR="00AC5D83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S</w:t>
      </w:r>
      <w:r w:rsidR="00917070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2</w:t>
      </w: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.</w:t>
      </w:r>
      <w:r w:rsidRPr="00AF37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27A26">
        <w:rPr>
          <w:rFonts w:ascii="Times New Roman" w:hAnsi="Times New Roman"/>
          <w:b/>
          <w:bCs/>
          <w:iCs/>
          <w:color w:val="000000"/>
          <w:sz w:val="24"/>
          <w:szCs w:val="24"/>
        </w:rPr>
        <w:t xml:space="preserve">B3 specifically impairs early and late </w:t>
      </w:r>
      <w:r>
        <w:rPr>
          <w:rFonts w:ascii="Times New Roman" w:hAnsi="Times New Roman"/>
          <w:b/>
          <w:bCs/>
          <w:iCs/>
          <w:color w:val="000000"/>
          <w:sz w:val="24"/>
          <w:szCs w:val="24"/>
        </w:rPr>
        <w:t xml:space="preserve">HCMV </w:t>
      </w:r>
      <w:r w:rsidRPr="00B27A26">
        <w:rPr>
          <w:rFonts w:ascii="Times New Roman" w:hAnsi="Times New Roman"/>
          <w:b/>
          <w:bCs/>
          <w:iCs/>
          <w:color w:val="000000"/>
          <w:sz w:val="24"/>
          <w:szCs w:val="24"/>
        </w:rPr>
        <w:t xml:space="preserve">AD169 gene expression. 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MRC5 </w:t>
      </w:r>
      <w:r>
        <w:rPr>
          <w:rFonts w:ascii="Times New Roman" w:hAnsi="Times New Roman"/>
          <w:iCs/>
          <w:color w:val="000000"/>
          <w:sz w:val="24"/>
          <w:szCs w:val="24"/>
        </w:rPr>
        <w:t>were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infected with </w:t>
      </w:r>
      <w:r>
        <w:rPr>
          <w:rFonts w:ascii="Times New Roman" w:hAnsi="Times New Roman"/>
          <w:iCs/>
          <w:color w:val="000000"/>
          <w:sz w:val="24"/>
          <w:szCs w:val="24"/>
        </w:rPr>
        <w:t xml:space="preserve">HCMV 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>AD169</w:t>
      </w:r>
      <w:r>
        <w:rPr>
          <w:rFonts w:ascii="Times New Roman" w:hAnsi="Times New Roman"/>
          <w:iCs/>
          <w:color w:val="000000"/>
          <w:sz w:val="24"/>
          <w:szCs w:val="24"/>
        </w:rPr>
        <w:t xml:space="preserve"> and treated as described in the Materials and Methods section.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At the indicated time points p.i.</w:t>
      </w:r>
      <w:r>
        <w:rPr>
          <w:rFonts w:ascii="Times New Roman" w:hAnsi="Times New Roman"/>
          <w:iCs/>
          <w:color w:val="000000"/>
          <w:sz w:val="24"/>
          <w:szCs w:val="24"/>
        </w:rPr>
        <w:t>,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cells were lysed and processed for Western </w:t>
      </w:r>
      <w:r>
        <w:rPr>
          <w:rFonts w:ascii="Times New Roman" w:hAnsi="Times New Roman"/>
          <w:iCs/>
          <w:color w:val="000000"/>
          <w:sz w:val="24"/>
          <w:szCs w:val="24"/>
        </w:rPr>
        <w:t>B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>lotting to detect the expression of t</w:t>
      </w:r>
      <w:r>
        <w:rPr>
          <w:rFonts w:ascii="Times New Roman" w:hAnsi="Times New Roman"/>
          <w:iCs/>
          <w:color w:val="000000"/>
          <w:sz w:val="24"/>
          <w:szCs w:val="24"/>
        </w:rPr>
        <w:t>he immediate early IE1 antigen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>, the early</w:t>
      </w:r>
      <w:r>
        <w:rPr>
          <w:rFonts w:ascii="Times New Roman" w:hAnsi="Times New Roman"/>
          <w:iCs/>
          <w:color w:val="000000"/>
          <w:sz w:val="24"/>
          <w:szCs w:val="24"/>
        </w:rPr>
        <w:t>-late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antigen</w:t>
      </w:r>
      <w:r>
        <w:rPr>
          <w:rFonts w:ascii="Times New Roman" w:hAnsi="Times New Roman"/>
          <w:iCs/>
          <w:color w:val="000000"/>
          <w:sz w:val="24"/>
          <w:szCs w:val="24"/>
        </w:rPr>
        <w:t>s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ppUL44 </w:t>
      </w:r>
      <w:r>
        <w:rPr>
          <w:rFonts w:ascii="Times New Roman" w:hAnsi="Times New Roman"/>
          <w:iCs/>
          <w:color w:val="000000"/>
          <w:sz w:val="24"/>
          <w:szCs w:val="24"/>
        </w:rPr>
        <w:t>and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pp65 </w:t>
      </w:r>
      <w:r>
        <w:rPr>
          <w:rFonts w:ascii="Times New Roman" w:hAnsi="Times New Roman"/>
          <w:iCs/>
          <w:color w:val="000000"/>
          <w:sz w:val="24"/>
          <w:szCs w:val="24"/>
        </w:rPr>
        <w:t>as well as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the late antigen pp28. GAPDH </w:t>
      </w:r>
      <w:r>
        <w:rPr>
          <w:rFonts w:ascii="Times New Roman" w:hAnsi="Times New Roman"/>
          <w:iCs/>
          <w:color w:val="000000"/>
          <w:sz w:val="24"/>
          <w:szCs w:val="24"/>
        </w:rPr>
        <w:t>was</w:t>
      </w:r>
      <w:r w:rsidRPr="00B27A26">
        <w:rPr>
          <w:rFonts w:ascii="Times New Roman" w:hAnsi="Times New Roman"/>
          <w:iCs/>
          <w:color w:val="000000"/>
          <w:sz w:val="24"/>
          <w:szCs w:val="24"/>
        </w:rPr>
        <w:t xml:space="preserve"> a</w:t>
      </w:r>
      <w:r>
        <w:rPr>
          <w:rFonts w:ascii="Times New Roman" w:hAnsi="Times New Roman"/>
          <w:iCs/>
          <w:color w:val="000000"/>
          <w:sz w:val="24"/>
          <w:szCs w:val="24"/>
        </w:rPr>
        <w:t xml:space="preserve">lso detected as loading control. </w:t>
      </w:r>
    </w:p>
    <w:p w14:paraId="17F9F17D" w14:textId="77777777" w:rsidR="008A336E" w:rsidRPr="00CA577E" w:rsidRDefault="008A336E" w:rsidP="008A336E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B2262AB" w14:textId="77777777" w:rsidR="00AF37C8" w:rsidRPr="00AF37C8" w:rsidRDefault="00AF37C8" w:rsidP="008A336E">
      <w:pPr>
        <w:spacing w:line="240" w:lineRule="auto"/>
        <w:jc w:val="both"/>
        <w:rPr>
          <w:rFonts w:ascii="Times New Roman" w:hAnsi="Times New Roman"/>
          <w:sz w:val="24"/>
          <w:szCs w:val="24"/>
          <w:lang w:eastAsia="zh-CN"/>
        </w:rPr>
      </w:pPr>
    </w:p>
    <w:p w14:paraId="44E5F05F" w14:textId="50C17AEC" w:rsidR="0026244C" w:rsidRPr="00AF37C8" w:rsidRDefault="0026244C" w:rsidP="008A336E">
      <w:pPr>
        <w:spacing w:line="240" w:lineRule="auto"/>
        <w:jc w:val="both"/>
        <w:rPr>
          <w:sz w:val="24"/>
          <w:szCs w:val="24"/>
        </w:rPr>
      </w:pPr>
    </w:p>
    <w:sectPr w:rsidR="0026244C" w:rsidRPr="00AF37C8" w:rsidSect="000D792E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283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09BF"/>
    <w:rsid w:val="00022B94"/>
    <w:rsid w:val="00083950"/>
    <w:rsid w:val="00093371"/>
    <w:rsid w:val="000D792E"/>
    <w:rsid w:val="000E671D"/>
    <w:rsid w:val="000F61D1"/>
    <w:rsid w:val="00125AE2"/>
    <w:rsid w:val="00127116"/>
    <w:rsid w:val="0016641A"/>
    <w:rsid w:val="0017405E"/>
    <w:rsid w:val="0018359F"/>
    <w:rsid w:val="001A6C14"/>
    <w:rsid w:val="0023626E"/>
    <w:rsid w:val="002514E3"/>
    <w:rsid w:val="00251B0A"/>
    <w:rsid w:val="0026244C"/>
    <w:rsid w:val="002761A1"/>
    <w:rsid w:val="0028105D"/>
    <w:rsid w:val="0029095C"/>
    <w:rsid w:val="002A38A2"/>
    <w:rsid w:val="002A5D59"/>
    <w:rsid w:val="002F63DE"/>
    <w:rsid w:val="00337299"/>
    <w:rsid w:val="0036265E"/>
    <w:rsid w:val="00372725"/>
    <w:rsid w:val="00397EEE"/>
    <w:rsid w:val="003A6EF0"/>
    <w:rsid w:val="003B73F7"/>
    <w:rsid w:val="00404A9A"/>
    <w:rsid w:val="0041268F"/>
    <w:rsid w:val="004A204B"/>
    <w:rsid w:val="004D5BA6"/>
    <w:rsid w:val="004E1304"/>
    <w:rsid w:val="004E75AD"/>
    <w:rsid w:val="004F6516"/>
    <w:rsid w:val="00536CFB"/>
    <w:rsid w:val="005638A5"/>
    <w:rsid w:val="00565473"/>
    <w:rsid w:val="005A13C6"/>
    <w:rsid w:val="005E74BF"/>
    <w:rsid w:val="006463B3"/>
    <w:rsid w:val="00680023"/>
    <w:rsid w:val="00692131"/>
    <w:rsid w:val="006B2E46"/>
    <w:rsid w:val="00761B34"/>
    <w:rsid w:val="007972C2"/>
    <w:rsid w:val="007B389A"/>
    <w:rsid w:val="007B48DF"/>
    <w:rsid w:val="00807B32"/>
    <w:rsid w:val="008379DC"/>
    <w:rsid w:val="008609BF"/>
    <w:rsid w:val="008A336E"/>
    <w:rsid w:val="00913F3D"/>
    <w:rsid w:val="00915D27"/>
    <w:rsid w:val="00917070"/>
    <w:rsid w:val="00922C00"/>
    <w:rsid w:val="00936EBC"/>
    <w:rsid w:val="00947418"/>
    <w:rsid w:val="009A67EA"/>
    <w:rsid w:val="009B0C31"/>
    <w:rsid w:val="009C3427"/>
    <w:rsid w:val="00A13C65"/>
    <w:rsid w:val="00A234B2"/>
    <w:rsid w:val="00A77D7A"/>
    <w:rsid w:val="00AB095D"/>
    <w:rsid w:val="00AC5D83"/>
    <w:rsid w:val="00AE1A7F"/>
    <w:rsid w:val="00AF3270"/>
    <w:rsid w:val="00AF37C8"/>
    <w:rsid w:val="00B0701F"/>
    <w:rsid w:val="00BA5820"/>
    <w:rsid w:val="00BB0A48"/>
    <w:rsid w:val="00BB7007"/>
    <w:rsid w:val="00C23A92"/>
    <w:rsid w:val="00CA577E"/>
    <w:rsid w:val="00CE540A"/>
    <w:rsid w:val="00D252BC"/>
    <w:rsid w:val="00D94F18"/>
    <w:rsid w:val="00D975FE"/>
    <w:rsid w:val="00DA1473"/>
    <w:rsid w:val="00DB682E"/>
    <w:rsid w:val="00DD01CB"/>
    <w:rsid w:val="00DE4322"/>
    <w:rsid w:val="00DE6383"/>
    <w:rsid w:val="00DF11F3"/>
    <w:rsid w:val="00DF4E38"/>
    <w:rsid w:val="00DF6A25"/>
    <w:rsid w:val="00E07D3F"/>
    <w:rsid w:val="00E11147"/>
    <w:rsid w:val="00E1434F"/>
    <w:rsid w:val="00E324DE"/>
    <w:rsid w:val="00E43460"/>
    <w:rsid w:val="00E61348"/>
    <w:rsid w:val="00ED166C"/>
    <w:rsid w:val="00EE5EB3"/>
    <w:rsid w:val="00F01633"/>
    <w:rsid w:val="00F078BA"/>
    <w:rsid w:val="00F36848"/>
    <w:rsid w:val="00F75054"/>
    <w:rsid w:val="00FB4552"/>
    <w:rsid w:val="00FB4E34"/>
    <w:rsid w:val="00FD55DF"/>
    <w:rsid w:val="00FE4765"/>
    <w:rsid w:val="00FE6507"/>
    <w:rsid w:val="00FF5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12EA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8609BF"/>
    <w:pPr>
      <w:spacing w:after="200" w:line="276" w:lineRule="auto"/>
    </w:pPr>
    <w:rPr>
      <w:sz w:val="22"/>
      <w:szCs w:val="22"/>
      <w:lang w:val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MDPI11articletype">
    <w:name w:val="MDPI_1.1_article_type"/>
    <w:basedOn w:val="Normale"/>
    <w:next w:val="Normale"/>
    <w:qFormat/>
    <w:rsid w:val="00093371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13authornames">
    <w:name w:val="MDPI_1.3_authornames"/>
    <w:basedOn w:val="Normale"/>
    <w:next w:val="MDPI14history"/>
    <w:qFormat/>
    <w:rsid w:val="00093371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4history">
    <w:name w:val="MDPI_1.4_history"/>
    <w:basedOn w:val="Normale"/>
    <w:next w:val="Normale"/>
    <w:qFormat/>
    <w:rsid w:val="00093371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16affiliation">
    <w:name w:val="MDPI_1.6_affiliation"/>
    <w:basedOn w:val="Normale"/>
    <w:qFormat/>
    <w:rsid w:val="00093371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character" w:styleId="Collegamentoipertestuale">
    <w:name w:val="Hyperlink"/>
    <w:uiPriority w:val="99"/>
    <w:unhideWhenUsed/>
    <w:rsid w:val="00093371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hyperlink" Target="mailto:hanieh.ghassabian@unipd.it" TargetMode="External"/><Relationship Id="rId5" Type="http://schemas.openxmlformats.org/officeDocument/2006/relationships/hyperlink" Target="mailto:martina.timmoneri@gmail.com" TargetMode="External"/><Relationship Id="rId6" Type="http://schemas.openxmlformats.org/officeDocument/2006/relationships/hyperlink" Target="mailto:beatrice.mercorelli@unipd.it" TargetMode="External"/><Relationship Id="rId7" Type="http://schemas.openxmlformats.org/officeDocument/2006/relationships/hyperlink" Target="mailto:arianna.loregian@unipd.it" TargetMode="External"/><Relationship Id="rId8" Type="http://schemas.openxmlformats.org/officeDocument/2006/relationships/hyperlink" Target="mailto:Giorgio.palu@unipd.it" TargetMode="External"/><Relationship Id="rId9" Type="http://schemas.openxmlformats.org/officeDocument/2006/relationships/image" Target="media/image1.emf"/><Relationship Id="rId10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234</Words>
  <Characters>1334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Gualtiero A</dc:creator>
  <cp:keywords/>
  <dc:description/>
  <cp:lastModifiedBy>Gualtiero A</cp:lastModifiedBy>
  <cp:revision>4</cp:revision>
  <dcterms:created xsi:type="dcterms:W3CDTF">2020-11-17T15:04:00Z</dcterms:created>
  <dcterms:modified xsi:type="dcterms:W3CDTF">2020-11-18T14:52:00Z</dcterms:modified>
</cp:coreProperties>
</file>